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5B" w:rsidRPr="003849E4" w:rsidRDefault="0033465B" w:rsidP="0033465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32"/>
          <w:szCs w:val="32"/>
          <w:lang w:eastAsia="el-GR"/>
        </w:rPr>
      </w:pPr>
      <w:r w:rsidRPr="003849E4">
        <w:rPr>
          <w:rFonts w:eastAsia="Times New Roman" w:cs="Times New Roman"/>
          <w:b/>
          <w:sz w:val="32"/>
          <w:szCs w:val="32"/>
          <w:lang w:eastAsia="el-GR"/>
        </w:rPr>
        <w:t xml:space="preserve">ΚΟΙΝΕΣ ΠΡΟΔΙΑΓΡΑΦΕΣ ΕΜΠΟΡΙΑΣ </w:t>
      </w:r>
    </w:p>
    <w:p w:rsidR="0033465B" w:rsidRDefault="0033465B" w:rsidP="0033465B">
      <w:pPr>
        <w:autoSpaceDE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  <w:r w:rsidRPr="00F0512B">
        <w:rPr>
          <w:rFonts w:eastAsia="Times New Roman" w:cs="Times New Roman"/>
          <w:b/>
          <w:sz w:val="28"/>
          <w:szCs w:val="28"/>
          <w:lang w:eastAsia="hi-IN" w:bidi="hi-IN"/>
        </w:rPr>
        <w:t>Ι</w:t>
      </w:r>
      <w:r w:rsidRPr="00F0512B">
        <w:rPr>
          <w:rFonts w:eastAsia="Times New Roman" w:cs="Times New Roman"/>
          <w:sz w:val="28"/>
          <w:szCs w:val="28"/>
          <w:lang w:eastAsia="hi-IN" w:bidi="hi-IN"/>
        </w:rPr>
        <w:t>.</w:t>
      </w:r>
      <w:r>
        <w:rPr>
          <w:rFonts w:eastAsia="Times New Roman" w:cs="Times New Roman"/>
          <w:sz w:val="24"/>
          <w:szCs w:val="24"/>
          <w:lang w:eastAsia="hi-IN" w:bidi="hi-IN"/>
        </w:rPr>
        <w:t>1.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>Σύμφωνα με την αλιευτική νομοθεσία __Καν(ΕΕ) 1380/2013 ,</w:t>
      </w:r>
      <w:r w:rsidRPr="003963FC">
        <w:rPr>
          <w:rFonts w:eastAsia="Times New Roman" w:cs="Times New Roman"/>
          <w:iCs/>
          <w:sz w:val="24"/>
          <w:szCs w:val="24"/>
          <w:lang w:eastAsia="hi-IN" w:bidi="hi-IN"/>
        </w:rPr>
        <w:t xml:space="preserve"> για την  Κοινή Αλιευτική Πολιτική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>, Καν(ΕΕ) 1379/2013, για την Κοινή Οργάνωση της Αγοράς, Καν(ΕΚ)1224/2009 και Καν(ΕΕ) 404/2010  για το κοινοτικό σύστημα ελέγχου , Καν(ΕΚ) 2406/1996 για τις κοινές προδιαγραφές εμπορίας για  συγκεκριμένα είδη ,</w:t>
      </w:r>
      <w:r w:rsidRPr="003963FC">
        <w:rPr>
          <w:rFonts w:eastAsia="Times New Roman" w:cs="Times New Roman"/>
          <w:sz w:val="24"/>
          <w:szCs w:val="24"/>
          <w:lang w:eastAsia="ar-SA"/>
        </w:rPr>
        <w:t>Καν (ΕΟΚ) 2136/89,για τον καθορισμό κοινών προδιαγραφών εμπορίας για τις κονσέρβες σαρδέλας,</w:t>
      </w:r>
      <w:r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3963FC">
        <w:rPr>
          <w:rFonts w:eastAsia="Times New Roman" w:cs="EUAlbertina"/>
          <w:color w:val="000000"/>
          <w:sz w:val="24"/>
          <w:szCs w:val="24"/>
          <w:lang w:eastAsia="ar-SA"/>
        </w:rPr>
        <w:t xml:space="preserve">Καν (ΕΟΚ) αριθ. 1536/92 για τον καθορισμό κοινών προδιαγραφών εμπορίας για τις κονσέρβες τόνου και παλαμίδας, </w:t>
      </w:r>
      <w:r w:rsidRPr="003963FC">
        <w:rPr>
          <w:rFonts w:eastAsia="Times New Roman" w:cs="EUAlbertina"/>
          <w:color w:val="000000"/>
          <w:sz w:val="24"/>
          <w:szCs w:val="24"/>
          <w:lang w:eastAsia="hi-IN" w:bidi="hi-IN"/>
        </w:rPr>
        <w:t>Καν (ΕΟΚ) αριθ. 3703/85 για τη θέσπιση των λεπτομερειών εφαρμογής των κοινών προδιαγραφών εμπορίας για ορισμένα νωπά ψάρια ή διατηρημένα με απλή ψύξη _ δεν εφαρμόζεται για τα προϊόντα αλιείας που αλιεύονται στην Μεσόγειο</w:t>
      </w:r>
      <w:r w:rsidRPr="003963FC">
        <w:rPr>
          <w:rFonts w:eastAsia="Times New Roman" w:cs="EUAlbertina"/>
          <w:color w:val="000000"/>
          <w:sz w:val="24"/>
          <w:szCs w:val="24"/>
          <w:lang w:eastAsia="ar-SA"/>
        </w:rPr>
        <w:t xml:space="preserve"> ,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 xml:space="preserve">καθώς και την ΥΑ </w:t>
      </w:r>
      <w:r w:rsidRPr="003963FC">
        <w:rPr>
          <w:rFonts w:eastAsia="Times New Roman" w:cs="MSTT31c632"/>
          <w:sz w:val="24"/>
          <w:szCs w:val="24"/>
          <w:lang w:eastAsia="ar-SA"/>
        </w:rPr>
        <w:t xml:space="preserve">169717 /2005 για τη θέσπιση κανόνων εμπορίας ορισμένων αλιευτικών προϊόντων , 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 xml:space="preserve">προβλέπεται η τήρηση κοινών προδιαγραφών εμπορίας για τα προϊόντα αλιείας συγκεκριμένων ειδών </w:t>
      </w:r>
      <w:r>
        <w:rPr>
          <w:rFonts w:eastAsia="Times New Roman" w:cs="Times New Roman"/>
          <w:sz w:val="24"/>
          <w:szCs w:val="24"/>
          <w:lang w:eastAsia="hi-IN" w:bidi="hi-IN"/>
        </w:rPr>
        <w:t xml:space="preserve">τα οποία πωλούνται για ανθρώπινη κατανάλωση 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 xml:space="preserve">,ανεξάρτητα  της  προέλευσής τους (εγχώρια , </w:t>
      </w:r>
      <w:proofErr w:type="spellStart"/>
      <w:r w:rsidRPr="003963FC">
        <w:rPr>
          <w:rFonts w:eastAsia="Times New Roman" w:cs="Times New Roman"/>
          <w:sz w:val="24"/>
          <w:szCs w:val="24"/>
          <w:lang w:eastAsia="el-GR"/>
        </w:rPr>
        <w:t>ενωσιακά</w:t>
      </w:r>
      <w:proofErr w:type="spellEnd"/>
      <w:r w:rsidRPr="003963FC">
        <w:rPr>
          <w:rFonts w:eastAsia="Times New Roman" w:cs="Times New Roman"/>
          <w:sz w:val="24"/>
          <w:szCs w:val="24"/>
          <w:lang w:eastAsia="el-GR"/>
        </w:rPr>
        <w:t xml:space="preserve">  και τρίτων χωρών )</w:t>
      </w:r>
      <w:r w:rsidRPr="003963FC">
        <w:rPr>
          <w:rFonts w:eastAsia="Times New Roman" w:cs="Times New Roman"/>
          <w:sz w:val="24"/>
          <w:szCs w:val="24"/>
          <w:lang w:eastAsia="hi-IN" w:bidi="hi-IN"/>
        </w:rPr>
        <w:t>.</w:t>
      </w:r>
    </w:p>
    <w:p w:rsidR="0033465B" w:rsidRPr="00940451" w:rsidRDefault="0033465B" w:rsidP="0033465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F0512B">
        <w:rPr>
          <w:rFonts w:eastAsia="Times New Roman" w:cs="Times New Roman"/>
          <w:sz w:val="24"/>
          <w:szCs w:val="24"/>
          <w:lang w:eastAsia="el-GR"/>
        </w:rPr>
        <w:t>2.</w:t>
      </w:r>
      <w:r w:rsidRPr="00F0512B">
        <w:rPr>
          <w:sz w:val="24"/>
          <w:szCs w:val="24"/>
        </w:rPr>
        <w:t>Τα προϊόντα αλιείας  (εγχώ</w:t>
      </w:r>
      <w:r>
        <w:rPr>
          <w:sz w:val="24"/>
          <w:szCs w:val="24"/>
        </w:rPr>
        <w:t>ρια ,</w:t>
      </w:r>
      <w:proofErr w:type="spellStart"/>
      <w:r>
        <w:rPr>
          <w:sz w:val="24"/>
          <w:szCs w:val="24"/>
        </w:rPr>
        <w:t>ενωσιακά</w:t>
      </w:r>
      <w:proofErr w:type="spellEnd"/>
      <w:r>
        <w:rPr>
          <w:sz w:val="24"/>
          <w:szCs w:val="24"/>
        </w:rPr>
        <w:t xml:space="preserve"> και τρίτων χωρών </w:t>
      </w:r>
      <w:r w:rsidRPr="00F0512B">
        <w:rPr>
          <w:sz w:val="24"/>
          <w:szCs w:val="24"/>
        </w:rPr>
        <w:t xml:space="preserve">), των ειδών του πίνακα που ακολουθεί, όταν εκτίθενται ή προσφέρονται για πρώτη πώληση, πωλούνται ή εμπορεύονται καθ’ οιονδήποτε τρόπο στη χώρα , </w:t>
      </w:r>
      <w:proofErr w:type="spellStart"/>
      <w:r w:rsidRPr="00F0512B">
        <w:rPr>
          <w:sz w:val="24"/>
          <w:szCs w:val="24"/>
        </w:rPr>
        <w:t>διέπονται</w:t>
      </w:r>
      <w:proofErr w:type="spellEnd"/>
      <w:r w:rsidRPr="00F0512B">
        <w:rPr>
          <w:sz w:val="24"/>
          <w:szCs w:val="24"/>
        </w:rPr>
        <w:t xml:space="preserve"> και από τις κοινές προδιαγραφές εμπορίας </w:t>
      </w:r>
      <w:r w:rsidRPr="00F0512B">
        <w:rPr>
          <w:rFonts w:eastAsia="Times New Roman" w:cs="Times New Roman"/>
          <w:sz w:val="24"/>
          <w:szCs w:val="24"/>
          <w:lang w:eastAsia="el-GR"/>
        </w:rPr>
        <w:t xml:space="preserve">. Οι κοινές  προδιαγραφές περιλαμβάνουν την ταξινόμησή των ειδών  </w:t>
      </w:r>
      <w:r>
        <w:rPr>
          <w:rFonts w:eastAsia="Times New Roman" w:cs="Times New Roman"/>
          <w:sz w:val="24"/>
          <w:szCs w:val="24"/>
          <w:lang w:eastAsia="el-GR"/>
        </w:rPr>
        <w:t xml:space="preserve">σε κατηγορίες  </w:t>
      </w:r>
      <w:proofErr w:type="spellStart"/>
      <w:r>
        <w:rPr>
          <w:rFonts w:eastAsia="Times New Roman" w:cs="Times New Roman"/>
          <w:sz w:val="24"/>
          <w:szCs w:val="24"/>
          <w:lang w:eastAsia="el-GR"/>
        </w:rPr>
        <w:t>φρεσκότητας</w:t>
      </w:r>
      <w:proofErr w:type="spellEnd"/>
      <w:r>
        <w:rPr>
          <w:rFonts w:eastAsia="Times New Roman" w:cs="Times New Roman"/>
          <w:sz w:val="24"/>
          <w:szCs w:val="24"/>
          <w:lang w:eastAsia="el-GR"/>
        </w:rPr>
        <w:t xml:space="preserve"> ,</w:t>
      </w:r>
      <w:r w:rsidRPr="00F0512B">
        <w:rPr>
          <w:rFonts w:eastAsia="Times New Roman" w:cs="Times New Roman"/>
          <w:sz w:val="24"/>
          <w:szCs w:val="24"/>
          <w:lang w:eastAsia="el-GR"/>
        </w:rPr>
        <w:t xml:space="preserve"> μεγέθους και παρουσίασης</w:t>
      </w:r>
      <w:r w:rsidRPr="00940451">
        <w:rPr>
          <w:rFonts w:eastAsia="Times New Roman" w:cs="Times New Roman"/>
          <w:sz w:val="24"/>
          <w:szCs w:val="24"/>
          <w:lang w:eastAsia="el-GR"/>
        </w:rPr>
        <w:t xml:space="preserve"> .</w:t>
      </w:r>
    </w:p>
    <w:p w:rsidR="0033465B" w:rsidRPr="00F0512B" w:rsidRDefault="0033465B" w:rsidP="0033465B">
      <w:pPr>
        <w:jc w:val="both"/>
        <w:rPr>
          <w:sz w:val="24"/>
          <w:szCs w:val="24"/>
        </w:rPr>
      </w:pPr>
      <w:r w:rsidRPr="00F0512B">
        <w:rPr>
          <w:sz w:val="24"/>
          <w:szCs w:val="24"/>
        </w:rPr>
        <w:t>3.Οι επιχειρήσεις, οι οποίες είναι υπεύθυνες για την αγορά, την πώληση, την αποθήκευση ή τη μ</w:t>
      </w:r>
      <w:r>
        <w:rPr>
          <w:sz w:val="24"/>
          <w:szCs w:val="24"/>
        </w:rPr>
        <w:t xml:space="preserve">εταφορά παρτίδων των προϊόντων αλιείας των συγκεκριμένων ειδών </w:t>
      </w:r>
      <w:r w:rsidRPr="00F0512B">
        <w:rPr>
          <w:sz w:val="24"/>
          <w:szCs w:val="24"/>
        </w:rPr>
        <w:t>, πρέπει να είναι σε θέση να αποδείξουν ότι τα προϊόντα που εμπορεύονται τηρούν τις ελάχιστες προδιαγραφές ταξινόμησης, σε όλα τα στάδια εμπορίας.</w:t>
      </w:r>
    </w:p>
    <w:p w:rsidR="0033465B" w:rsidRPr="00776688" w:rsidRDefault="0033465B" w:rsidP="0033465B">
      <w:pPr>
        <w:jc w:val="both"/>
        <w:rPr>
          <w:sz w:val="24"/>
          <w:szCs w:val="24"/>
        </w:rPr>
      </w:pPr>
      <w:r w:rsidRPr="00F0512B">
        <w:rPr>
          <w:sz w:val="24"/>
          <w:szCs w:val="24"/>
        </w:rPr>
        <w:t xml:space="preserve">4.Κάθε παρτίδα των προϊόντων </w:t>
      </w:r>
      <w:r>
        <w:rPr>
          <w:sz w:val="24"/>
          <w:szCs w:val="24"/>
        </w:rPr>
        <w:t xml:space="preserve">αλιείας </w:t>
      </w:r>
      <w:r w:rsidRPr="00F0512B">
        <w:rPr>
          <w:sz w:val="24"/>
          <w:szCs w:val="24"/>
        </w:rPr>
        <w:t xml:space="preserve"> περιλαμβάνει προϊόντα μιας μόνο κατηγορίας παρουσίασης, </w:t>
      </w:r>
      <w:proofErr w:type="spellStart"/>
      <w:r w:rsidRPr="00F0512B">
        <w:rPr>
          <w:sz w:val="24"/>
          <w:szCs w:val="24"/>
        </w:rPr>
        <w:t>φρεσκότητας</w:t>
      </w:r>
      <w:proofErr w:type="spellEnd"/>
      <w:r w:rsidRPr="00F0512B">
        <w:rPr>
          <w:sz w:val="24"/>
          <w:szCs w:val="24"/>
        </w:rPr>
        <w:t xml:space="preserve"> και μεγέθους . Μικρές παρτίδες &lt;</w:t>
      </w:r>
      <w:smartTag w:uri="urn:schemas-microsoft-com:office:smarttags" w:element="metricconverter">
        <w:smartTagPr>
          <w:attr w:name="ProductID" w:val="50 kg"/>
        </w:smartTagPr>
        <w:r w:rsidRPr="00F0512B">
          <w:rPr>
            <w:sz w:val="24"/>
            <w:szCs w:val="24"/>
          </w:rPr>
          <w:t xml:space="preserve">50 </w:t>
        </w:r>
        <w:proofErr w:type="spellStart"/>
        <w:r w:rsidRPr="00F0512B">
          <w:rPr>
            <w:sz w:val="24"/>
            <w:szCs w:val="24"/>
          </w:rPr>
          <w:t>Kg</w:t>
        </w:r>
      </w:smartTag>
      <w:proofErr w:type="spellEnd"/>
      <w:r w:rsidRPr="00F0512B">
        <w:rPr>
          <w:sz w:val="24"/>
          <w:szCs w:val="24"/>
        </w:rPr>
        <w:t xml:space="preserve"> επιτρέπεται να μην είναι ομοιογενείς ως προς την </w:t>
      </w:r>
      <w:proofErr w:type="spellStart"/>
      <w:r w:rsidRPr="00F0512B">
        <w:rPr>
          <w:sz w:val="24"/>
          <w:szCs w:val="24"/>
        </w:rPr>
        <w:t>φρεσκότητα</w:t>
      </w:r>
      <w:proofErr w:type="spellEnd"/>
      <w:r w:rsidRPr="00F0512B">
        <w:rPr>
          <w:sz w:val="24"/>
          <w:szCs w:val="24"/>
        </w:rPr>
        <w:t xml:space="preserve"> και το μέγεθος πλην όμως κατατάσσονται στην χαμηλότερη κατηγορία </w:t>
      </w:r>
      <w:proofErr w:type="spellStart"/>
      <w:r w:rsidRPr="00F0512B">
        <w:rPr>
          <w:sz w:val="24"/>
          <w:szCs w:val="24"/>
        </w:rPr>
        <w:t>φρεσκότητας</w:t>
      </w:r>
      <w:proofErr w:type="spellEnd"/>
      <w:r w:rsidRPr="00F0512B">
        <w:rPr>
          <w:sz w:val="24"/>
          <w:szCs w:val="24"/>
        </w:rPr>
        <w:t xml:space="preserve"> και μεγέθους </w:t>
      </w:r>
      <w:r>
        <w:rPr>
          <w:sz w:val="24"/>
          <w:szCs w:val="24"/>
        </w:rPr>
        <w:t xml:space="preserve">.Το καθαρό βάρος σε </w:t>
      </w:r>
      <w:r>
        <w:rPr>
          <w:sz w:val="24"/>
          <w:szCs w:val="24"/>
          <w:lang w:val="en-US"/>
        </w:rPr>
        <w:t>kg</w:t>
      </w:r>
      <w:r w:rsidRPr="00375E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αναγράφεται στην παρτίδα. Όταν οι παρτίδες διατίθενται προς πώληση σε τυποποιημένα </w:t>
      </w:r>
      <w:proofErr w:type="spellStart"/>
      <w:r>
        <w:rPr>
          <w:sz w:val="24"/>
          <w:szCs w:val="24"/>
        </w:rPr>
        <w:t>ιχθυκιβώτια</w:t>
      </w:r>
      <w:proofErr w:type="spellEnd"/>
      <w:r>
        <w:rPr>
          <w:sz w:val="24"/>
          <w:szCs w:val="24"/>
        </w:rPr>
        <w:t xml:space="preserve"> ,δεν είναι απαραίτητη η αναγραφή του καθαρού βάρους ,εάν αποδεικνύεται ότι το περιεχόμενο του </w:t>
      </w:r>
      <w:proofErr w:type="spellStart"/>
      <w:r>
        <w:rPr>
          <w:sz w:val="24"/>
          <w:szCs w:val="24"/>
        </w:rPr>
        <w:t>ιχθυοκιβωτίου</w:t>
      </w:r>
      <w:proofErr w:type="spellEnd"/>
      <w:r>
        <w:rPr>
          <w:sz w:val="24"/>
          <w:szCs w:val="24"/>
        </w:rPr>
        <w:t xml:space="preserve"> ,όταν ζυγίζεται προς πώληση ,αντιστοιχεί προς το εικαζόμενο περιεχόμενο εκφραζόμενο σε </w:t>
      </w:r>
      <w:r>
        <w:rPr>
          <w:sz w:val="24"/>
          <w:szCs w:val="24"/>
          <w:lang w:val="en-US"/>
        </w:rPr>
        <w:t>kg</w:t>
      </w:r>
      <w:r>
        <w:rPr>
          <w:sz w:val="24"/>
          <w:szCs w:val="24"/>
        </w:rPr>
        <w:t xml:space="preserve">(π.χ.  1 </w:t>
      </w:r>
      <w:proofErr w:type="spellStart"/>
      <w:r>
        <w:rPr>
          <w:sz w:val="24"/>
          <w:szCs w:val="24"/>
        </w:rPr>
        <w:t>ιχιθυοκιβώτιο</w:t>
      </w:r>
      <w:proofErr w:type="spellEnd"/>
      <w:r w:rsidRPr="001D32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γαύρου _5 </w:t>
      </w:r>
      <w:r>
        <w:rPr>
          <w:sz w:val="24"/>
          <w:szCs w:val="24"/>
          <w:lang w:val="en-US"/>
        </w:rPr>
        <w:t>kg</w:t>
      </w:r>
      <w:r w:rsidRPr="001D32A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76688">
        <w:rPr>
          <w:sz w:val="24"/>
          <w:szCs w:val="24"/>
        </w:rPr>
        <w:t>.</w:t>
      </w:r>
    </w:p>
    <w:p w:rsidR="0033465B" w:rsidRPr="00F0512B" w:rsidRDefault="0033465B" w:rsidP="0033465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Pr="00F0512B">
        <w:rPr>
          <w:sz w:val="24"/>
          <w:szCs w:val="24"/>
        </w:rPr>
        <w:t xml:space="preserve">.Οι πληροφορίες ταξινόμησης και παρουσίασης των ως άνω προϊόντων  </w:t>
      </w:r>
    </w:p>
    <w:p w:rsidR="0033465B" w:rsidRPr="00F0512B" w:rsidRDefault="0033465B" w:rsidP="0033465B">
      <w:pPr>
        <w:spacing w:line="240" w:lineRule="auto"/>
        <w:jc w:val="both"/>
        <w:rPr>
          <w:sz w:val="24"/>
          <w:szCs w:val="24"/>
        </w:rPr>
      </w:pPr>
      <w:r w:rsidRPr="00F0512B">
        <w:rPr>
          <w:sz w:val="24"/>
          <w:szCs w:val="24"/>
        </w:rPr>
        <w:t>α)πρέπε</w:t>
      </w:r>
      <w:r>
        <w:rPr>
          <w:sz w:val="24"/>
          <w:szCs w:val="24"/>
        </w:rPr>
        <w:t>ι  να παρέχονται σε ετικέτα επί</w:t>
      </w:r>
      <w:r w:rsidRPr="00F0512B">
        <w:rPr>
          <w:sz w:val="24"/>
          <w:szCs w:val="24"/>
        </w:rPr>
        <w:t xml:space="preserve"> </w:t>
      </w:r>
      <w:r>
        <w:rPr>
          <w:sz w:val="24"/>
          <w:szCs w:val="24"/>
        </w:rPr>
        <w:t>της  παρτίδας  ή στη</w:t>
      </w:r>
      <w:r w:rsidRPr="00F0512B">
        <w:rPr>
          <w:sz w:val="24"/>
          <w:szCs w:val="24"/>
        </w:rPr>
        <w:t xml:space="preserve"> συσκευασία ή και στο εμπορικό έγγραφο που συνοδεύει το προϊόν </w:t>
      </w:r>
    </w:p>
    <w:p w:rsidR="0033465B" w:rsidRPr="00F3493D" w:rsidRDefault="0033465B" w:rsidP="0033465B">
      <w:pPr>
        <w:spacing w:line="240" w:lineRule="auto"/>
        <w:jc w:val="both"/>
        <w:rPr>
          <w:sz w:val="24"/>
          <w:szCs w:val="24"/>
        </w:rPr>
      </w:pPr>
      <w:r w:rsidRPr="00F3493D">
        <w:rPr>
          <w:sz w:val="24"/>
          <w:szCs w:val="24"/>
        </w:rPr>
        <w:t xml:space="preserve">β) ειδικότερα αν </w:t>
      </w:r>
      <w:r>
        <w:rPr>
          <w:sz w:val="24"/>
          <w:szCs w:val="24"/>
        </w:rPr>
        <w:t>τα προϊόντα έχουν εισαχθεί από τ</w:t>
      </w:r>
      <w:r w:rsidRPr="00F3493D">
        <w:rPr>
          <w:sz w:val="24"/>
          <w:szCs w:val="24"/>
        </w:rPr>
        <w:t>ρίτη</w:t>
      </w:r>
      <w:r>
        <w:rPr>
          <w:sz w:val="24"/>
          <w:szCs w:val="24"/>
        </w:rPr>
        <w:t xml:space="preserve"> χ</w:t>
      </w:r>
      <w:r w:rsidRPr="00F3493D">
        <w:rPr>
          <w:sz w:val="24"/>
          <w:szCs w:val="24"/>
        </w:rPr>
        <w:t>ώρα μπορούν να διατεθούν στο εμπόριο μόνο εάν  στην  συσκευασία τους αναγράφονται οι εξής πληροφορίες: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 xml:space="preserve">χώρα προέλευσης, 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>το επιστημονικό όνομα και η ελληνική εμπορική ονομασία του είδους,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lastRenderedPageBreak/>
        <w:t xml:space="preserve"> ο τρόπος παρουσίασης, 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 xml:space="preserve">η κατηγορία </w:t>
      </w:r>
      <w:proofErr w:type="spellStart"/>
      <w:r w:rsidRPr="00F3493D">
        <w:rPr>
          <w:sz w:val="24"/>
          <w:szCs w:val="24"/>
        </w:rPr>
        <w:t>φρεσκότητας</w:t>
      </w:r>
      <w:proofErr w:type="spellEnd"/>
      <w:r w:rsidRPr="00F3493D">
        <w:rPr>
          <w:sz w:val="24"/>
          <w:szCs w:val="24"/>
        </w:rPr>
        <w:t xml:space="preserve"> και μεγέθους, 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>το καθαρό βάρος σε κιλά,</w:t>
      </w:r>
    </w:p>
    <w:p w:rsidR="0033465B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 xml:space="preserve">η ημερομηνία ταξινόμησης και η ημερομηνία αποστολής, </w:t>
      </w:r>
    </w:p>
    <w:p w:rsidR="0033465B" w:rsidRPr="00F3493D" w:rsidRDefault="0033465B" w:rsidP="0033465B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F3493D">
        <w:rPr>
          <w:sz w:val="24"/>
          <w:szCs w:val="24"/>
        </w:rPr>
        <w:t xml:space="preserve">το όνομα και η διεύθυνση του </w:t>
      </w:r>
      <w:proofErr w:type="spellStart"/>
      <w:r w:rsidRPr="00F3493D">
        <w:rPr>
          <w:sz w:val="24"/>
          <w:szCs w:val="24"/>
        </w:rPr>
        <w:t>εξαγωγέα</w:t>
      </w:r>
      <w:proofErr w:type="spellEnd"/>
      <w:r w:rsidRPr="00F3493D">
        <w:rPr>
          <w:sz w:val="24"/>
          <w:szCs w:val="24"/>
        </w:rPr>
        <w:t xml:space="preserve">, </w:t>
      </w:r>
    </w:p>
    <w:p w:rsidR="0033465B" w:rsidRPr="00F0512B" w:rsidRDefault="0033465B" w:rsidP="0033465B">
      <w:pPr>
        <w:jc w:val="both"/>
        <w:rPr>
          <w:sz w:val="24"/>
          <w:szCs w:val="24"/>
        </w:rPr>
      </w:pPr>
      <w:r w:rsidRPr="00F0512B">
        <w:rPr>
          <w:sz w:val="24"/>
          <w:szCs w:val="24"/>
        </w:rPr>
        <w:t xml:space="preserve">γ) να είναι ορατές,  ευδιάκριτες και ευανάγνωστες </w:t>
      </w:r>
    </w:p>
    <w:p w:rsidR="0033465B" w:rsidRPr="00F0512B" w:rsidRDefault="0033465B" w:rsidP="0033465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0512B">
        <w:rPr>
          <w:sz w:val="24"/>
          <w:szCs w:val="24"/>
        </w:rPr>
        <w:t xml:space="preserve">.Η  ταξινόμηση σε κατηγορίες  μεγέθους δεν αναιρεί  την υποχρέωση εμπορίας για τα ελάχιστα μεγέθη ειδών που αλιεύονται όπως ορίζονται στις διατάξεις της </w:t>
      </w:r>
      <w:proofErr w:type="spellStart"/>
      <w:r w:rsidRPr="00F0512B">
        <w:rPr>
          <w:sz w:val="24"/>
          <w:szCs w:val="24"/>
        </w:rPr>
        <w:t>ενωσιακής</w:t>
      </w:r>
      <w:proofErr w:type="spellEnd"/>
      <w:r w:rsidRPr="00F0512B">
        <w:rPr>
          <w:sz w:val="24"/>
          <w:szCs w:val="24"/>
        </w:rPr>
        <w:t xml:space="preserve">  και εθνικής αλιευτικής νομοθεσίας.</w:t>
      </w:r>
    </w:p>
    <w:p w:rsidR="0033465B" w:rsidRPr="00776688" w:rsidRDefault="0033465B" w:rsidP="0033465B">
      <w:pPr>
        <w:jc w:val="both"/>
        <w:rPr>
          <w:sz w:val="24"/>
          <w:szCs w:val="24"/>
        </w:rPr>
      </w:pPr>
      <w:r w:rsidRPr="00375EEC">
        <w:rPr>
          <w:sz w:val="24"/>
          <w:szCs w:val="24"/>
        </w:rPr>
        <w:t>7.</w:t>
      </w:r>
      <w:r w:rsidRPr="00375EEC">
        <w:rPr>
          <w:b/>
          <w:sz w:val="24"/>
          <w:szCs w:val="24"/>
        </w:rPr>
        <w:t xml:space="preserve">ΕΞΑΙΡΕΣΗ: </w:t>
      </w:r>
      <w:r w:rsidRPr="00375EEC">
        <w:rPr>
          <w:sz w:val="24"/>
          <w:szCs w:val="24"/>
        </w:rPr>
        <w:t>Τα προαναφερόμενα δεν εφαρμόζονται στις μικρές ποσότητες προϊόντων που πωλούνται από παράκτιο αλιευτικό σκάφος απευθείας στο λιανικό εμπόριο ή στον τελικό καταναλωτή. Οι ποσότητες αυτές πρέπε</w:t>
      </w:r>
      <w:r>
        <w:rPr>
          <w:sz w:val="24"/>
          <w:szCs w:val="24"/>
        </w:rPr>
        <w:t xml:space="preserve">ι να είναι μικρότερες των 50 </w:t>
      </w:r>
      <w:proofErr w:type="spellStart"/>
      <w:r>
        <w:rPr>
          <w:sz w:val="24"/>
          <w:szCs w:val="24"/>
        </w:rPr>
        <w:t>kg</w:t>
      </w:r>
      <w:proofErr w:type="spellEnd"/>
      <w:r>
        <w:rPr>
          <w:sz w:val="24"/>
          <w:szCs w:val="24"/>
        </w:rPr>
        <w:t xml:space="preserve"> ανά ημέρα ανά </w:t>
      </w:r>
      <w:r w:rsidRPr="00375EEC">
        <w:rPr>
          <w:sz w:val="24"/>
          <w:szCs w:val="24"/>
        </w:rPr>
        <w:t>αγοραστή.</w:t>
      </w:r>
    </w:p>
    <w:p w:rsidR="0033465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  <w:r w:rsidRPr="00F0512B">
        <w:rPr>
          <w:rFonts w:eastAsia="Times New Roman" w:cs="Times New Roman"/>
          <w:b/>
          <w:sz w:val="28"/>
          <w:szCs w:val="28"/>
          <w:lang w:eastAsia="hi-IN" w:bidi="hi-IN"/>
        </w:rPr>
        <w:t>ΙΙ.</w:t>
      </w:r>
      <w:r>
        <w:rPr>
          <w:rFonts w:eastAsia="Times New Roman" w:cs="Times New Roman"/>
          <w:sz w:val="24"/>
          <w:szCs w:val="24"/>
          <w:lang w:eastAsia="hi-IN" w:bidi="hi-IN"/>
        </w:rPr>
        <w:t xml:space="preserve"> Οι κοινές προδιαγραφές εμπορίας που προαναφέρονται  </w:t>
      </w:r>
      <w:r w:rsidRPr="00F0512B">
        <w:rPr>
          <w:rFonts w:eastAsia="Times New Roman" w:cs="Times New Roman"/>
          <w:sz w:val="24"/>
          <w:szCs w:val="24"/>
          <w:lang w:eastAsia="hi-IN" w:bidi="hi-IN"/>
        </w:rPr>
        <w:t xml:space="preserve"> ισχύουν  με την επιφύλαξη άλλων </w:t>
      </w:r>
      <w:r>
        <w:rPr>
          <w:rFonts w:eastAsia="Times New Roman" w:cs="Times New Roman"/>
          <w:sz w:val="24"/>
          <w:szCs w:val="24"/>
          <w:lang w:eastAsia="hi-IN" w:bidi="hi-IN"/>
        </w:rPr>
        <w:t>διατάξεων</w:t>
      </w:r>
      <w:r w:rsidRPr="00F0512B">
        <w:rPr>
          <w:rFonts w:eastAsia="Times New Roman" w:cs="Times New Roman"/>
          <w:sz w:val="24"/>
          <w:szCs w:val="24"/>
          <w:lang w:eastAsia="hi-IN" w:bidi="hi-IN"/>
        </w:rPr>
        <w:t xml:space="preserve">  </w:t>
      </w:r>
      <w:r>
        <w:rPr>
          <w:rFonts w:eastAsia="Times New Roman" w:cs="Times New Roman"/>
          <w:sz w:val="24"/>
          <w:szCs w:val="24"/>
          <w:lang w:eastAsia="hi-IN" w:bidi="hi-IN"/>
        </w:rPr>
        <w:t xml:space="preserve">της </w:t>
      </w:r>
      <w:proofErr w:type="spellStart"/>
      <w:r>
        <w:rPr>
          <w:rFonts w:eastAsia="Times New Roman" w:cs="Times New Roman"/>
          <w:sz w:val="24"/>
          <w:szCs w:val="24"/>
          <w:lang w:eastAsia="hi-IN" w:bidi="hi-IN"/>
        </w:rPr>
        <w:t>ενωσιακής</w:t>
      </w:r>
      <w:proofErr w:type="spellEnd"/>
      <w:r>
        <w:rPr>
          <w:rFonts w:eastAsia="Times New Roman" w:cs="Times New Roman"/>
          <w:sz w:val="24"/>
          <w:szCs w:val="24"/>
          <w:lang w:eastAsia="hi-IN" w:bidi="hi-IN"/>
        </w:rPr>
        <w:t xml:space="preserve"> </w:t>
      </w:r>
      <w:r w:rsidRPr="00F0512B">
        <w:rPr>
          <w:rFonts w:eastAsia="Times New Roman" w:cs="Times New Roman"/>
          <w:sz w:val="24"/>
          <w:szCs w:val="24"/>
          <w:lang w:eastAsia="hi-IN" w:bidi="hi-IN"/>
        </w:rPr>
        <w:t xml:space="preserve"> και εθνικής νομοθεσία</w:t>
      </w:r>
      <w:r>
        <w:rPr>
          <w:rFonts w:eastAsia="Times New Roman" w:cs="Times New Roman"/>
          <w:sz w:val="24"/>
          <w:szCs w:val="24"/>
          <w:lang w:eastAsia="hi-IN" w:bidi="hi-IN"/>
        </w:rPr>
        <w:t>ς ( εκτός της αλιευτικής ) που</w:t>
      </w:r>
      <w:r w:rsidRPr="00F0512B">
        <w:rPr>
          <w:rFonts w:eastAsia="Times New Roman" w:cs="Times New Roman"/>
          <w:sz w:val="24"/>
          <w:szCs w:val="24"/>
          <w:lang w:eastAsia="hi-IN" w:bidi="hi-IN"/>
        </w:rPr>
        <w:t xml:space="preserve"> αφορούν</w:t>
      </w:r>
      <w:r>
        <w:rPr>
          <w:rFonts w:eastAsia="Times New Roman" w:cs="Times New Roman"/>
          <w:sz w:val="24"/>
          <w:szCs w:val="24"/>
          <w:lang w:eastAsia="hi-IN" w:bidi="hi-IN"/>
        </w:rPr>
        <w:t xml:space="preserve"> προδιαγραφές εμπορίας πρ</w:t>
      </w:r>
      <w:r w:rsidRPr="00F0512B">
        <w:rPr>
          <w:rFonts w:eastAsia="Times New Roman" w:cs="Times New Roman"/>
          <w:sz w:val="24"/>
          <w:szCs w:val="24"/>
          <w:lang w:eastAsia="hi-IN" w:bidi="hi-IN"/>
        </w:rPr>
        <w:t>οϊόντων  αλιείας.</w:t>
      </w:r>
    </w:p>
    <w:p w:rsidR="0033465B" w:rsidRPr="00F0512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</w:p>
    <w:tbl>
      <w:tblPr>
        <w:tblW w:w="10020" w:type="dxa"/>
        <w:tblInd w:w="108" w:type="dxa"/>
        <w:tblLook w:val="0000" w:firstRow="0" w:lastRow="0" w:firstColumn="0" w:lastColumn="0" w:noHBand="0" w:noVBand="0"/>
      </w:tblPr>
      <w:tblGrid>
        <w:gridCol w:w="960"/>
        <w:gridCol w:w="1440"/>
        <w:gridCol w:w="2560"/>
        <w:gridCol w:w="2700"/>
        <w:gridCol w:w="2360"/>
      </w:tblGrid>
      <w:tr w:rsidR="0033465B" w:rsidRPr="00940451" w:rsidTr="007E7CEB">
        <w:trPr>
          <w:trHeight w:val="255"/>
        </w:trPr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Ι</w:t>
            </w:r>
            <w:r w:rsidRPr="00F3493D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ΙΙ</w:t>
            </w:r>
            <w:r w:rsidRPr="00F3493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ΠΙΝΑΚΑΣ </w:t>
            </w:r>
            <w:r w:rsidRPr="00F3493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ΙΔΩΝ</w:t>
            </w: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που διέποντας από τις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κοινές </w:t>
            </w: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προδιαγραφές εμπορίας ( </w:t>
            </w: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φρεσκότητα</w:t>
            </w:r>
            <w:proofErr w:type="spellEnd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 , μέγεθος ,παρουσίαση)</w:t>
            </w:r>
          </w:p>
        </w:tc>
      </w:tr>
      <w:tr w:rsidR="0033465B" w:rsidRPr="00940451" w:rsidTr="007E7CEB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α/α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Κωδικός FAO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Επιστημονικό όνομα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Ελληνική εμπορική ονομασία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Κατηγορία 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Ψάρια του Κωδικού ΣΟ 0302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ENR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Engraulis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Γαύροι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          ΚΥΑΝΑ ΨΑΡΙΑ 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Scomber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japonicus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Κολιός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WHB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Micromesistius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poutassou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Προσφυγάκι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HER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Clupea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harengus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Ρέγγα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Sardina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pilchardus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Σαρδέλα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SPR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Sprattus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sprattus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Παπαλίνα</w:t>
            </w:r>
            <w:proofErr w:type="spellEnd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JAX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Trachurus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Σαφρίδια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MAC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Scomber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scombrus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Σκουμπρί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BFT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Thunnus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thynnus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Τόνος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ALB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Thunnus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alalunga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Τόνος </w:t>
            </w: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μακρύπτερος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Thunnus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obesus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Τόνος μεγαλόφθαλμος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Pleuronectes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platessa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Φασί</w:t>
            </w:r>
            <w:proofErr w:type="spellEnd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 Ατλαντικού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          ΛΕΥΚΑ ΨΑΡΙΑ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COD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Gadus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morhua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Γάδος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HAD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Melanogramma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aeglefinus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Γάδος </w:t>
            </w: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μελανόγραμμος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DAB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Limanda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limanda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Γλώσσα </w:t>
            </w: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λιμάντα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SOO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Solea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Γλώσσες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BOG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Boops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boops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Γόπα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lastRenderedPageBreak/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LEZ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Lepidorhombus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Ζαγκέτες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Brama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Θαλασσομπράμες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GUY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Trigla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Καπόνια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MGS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Mugil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Κέφαλοι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POL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Pollachius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pollachius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Κιτρινοπολλάκιος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RED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Sebastes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Κοκκινόψαρα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MUT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Mullus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barbatus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Κουτσομούρα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LEM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Microstomus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kitt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Λεμονόγλωσσα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SPC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Spicara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smaris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Μαρίδα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Pollachius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virens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Μαυροπολλάκιος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BSF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Aphanopus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carbo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Μαυροσπαθόψαρο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COE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Conger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conger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Μουγγρί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HKE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Merluccius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merluccius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Μπακαλιάρος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MUR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Mullus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surmuletus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Μπαρμπούνι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MNZ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Lophius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Πεσκανδρίτσες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LNZ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Molva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Ποντικόψαρα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BRB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Spondyliosoma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cantharus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Σκαθάρι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SFS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Lepidopus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caudatus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Σπαθόψαρο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POD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Trisopterus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minutus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Σύκο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BIB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Trisopterus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luscus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Σύκο του Ατλαντικού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WHG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Merlangius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merlangus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Ταούκι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FLE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Platichthys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flesus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Φασί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Raja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Βάτοι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ΣΕΛΑΧΟΕΙΔΉ 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DGS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Squalus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acanthias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Κεντρόνι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SCL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Scyliorhinus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spp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Σκυλοψαράκια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2742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 xml:space="preserve">Καρκινοειδή του Κωδικού ΣΟ 0306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</w:p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</w:tr>
      <w:tr w:rsidR="0033465B" w:rsidRPr="00940451" w:rsidTr="007E7CEB">
        <w:trPr>
          <w:trHeight w:val="76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l-GR"/>
              </w:rPr>
            </w:pPr>
            <w:r w:rsidRPr="002742E4">
              <w:rPr>
                <w:rFonts w:eastAsia="Times New Roman" w:cs="Arial"/>
                <w:i/>
                <w:iCs/>
                <w:sz w:val="24"/>
                <w:szCs w:val="24"/>
                <w:lang w:eastAsia="el-GR"/>
              </w:rPr>
              <w:t>(ζωντανά, νωπά, διατηρημένα με απλή ψύξης ή βρασμένα σε νερό ή μαγειρεμένα στον ατμό</w:t>
            </w:r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CSH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Crangon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crangon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Κράγκων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ΚΑΡΚΙΝΟΕΙΔΗ 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PRA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Pandalus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borealis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Πάνταλος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CRE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Cancer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pagurus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Κάβουρας Ατλαντικού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NEP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Nephrops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norvegicus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Καραβίδα θάλασσας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2742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Κεφαλόποδα του κωδικού ΣΟ 0307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CTC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Sepia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officinalis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Σουπιά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 xml:space="preserve">ΚΕΦΑΛΟΠΟΔΑ 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ROA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Rossia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macrosoma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Ρόσσια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  <w:tr w:rsidR="0033465B" w:rsidRPr="00940451" w:rsidTr="007E7CEB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2742E4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Οστρακοειδή και άλλα ασπόνδυλα του κωδικού ΣΟ 307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 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SCE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Pecten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maximus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Χτένι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ΟΣΤΡΑΚΟΕΙΔΗ</w:t>
            </w:r>
          </w:p>
        </w:tc>
      </w:tr>
      <w:tr w:rsidR="0033465B" w:rsidRPr="00940451" w:rsidTr="007E7CE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lastRenderedPageBreak/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WHE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2742E4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i/>
                <w:sz w:val="24"/>
                <w:szCs w:val="24"/>
                <w:lang w:eastAsia="el-GR"/>
              </w:rPr>
            </w:pP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Buccinum</w:t>
            </w:r>
            <w:proofErr w:type="spellEnd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742E4">
              <w:rPr>
                <w:rFonts w:eastAsia="Times New Roman" w:cs="Arial"/>
                <w:i/>
                <w:sz w:val="24"/>
                <w:szCs w:val="24"/>
                <w:lang w:eastAsia="el-GR"/>
              </w:rPr>
              <w:t>undatum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Βούκινο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65B" w:rsidRPr="00940451" w:rsidRDefault="0033465B" w:rsidP="007E7C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940451">
              <w:rPr>
                <w:rFonts w:eastAsia="Times New Roman" w:cs="Arial"/>
                <w:sz w:val="24"/>
                <w:szCs w:val="24"/>
                <w:lang w:eastAsia="el-GR"/>
              </w:rPr>
              <w:t>&gt;&gt;</w:t>
            </w:r>
          </w:p>
        </w:tc>
      </w:tr>
    </w:tbl>
    <w:p w:rsidR="0033465B" w:rsidRPr="00940451" w:rsidRDefault="0033465B" w:rsidP="0033465B">
      <w:pPr>
        <w:rPr>
          <w:sz w:val="24"/>
          <w:szCs w:val="24"/>
        </w:rPr>
      </w:pPr>
    </w:p>
    <w:p w:rsidR="0033465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Pr="00940451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Default="0033465B" w:rsidP="0033465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hi-IN" w:bidi="hi-IN"/>
        </w:rPr>
      </w:pPr>
      <w:proofErr w:type="gramStart"/>
      <w:r w:rsidRPr="003849E4">
        <w:rPr>
          <w:rFonts w:eastAsia="Times New Roman" w:cs="Times New Roman"/>
          <w:b/>
          <w:bCs/>
          <w:color w:val="000000"/>
          <w:sz w:val="28"/>
          <w:szCs w:val="28"/>
          <w:lang w:val="en-US" w:eastAsia="el-GR"/>
        </w:rPr>
        <w:t>V</w:t>
      </w:r>
      <w:r w:rsidRPr="003849E4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Ι .</w:t>
      </w:r>
      <w:proofErr w:type="gramEnd"/>
      <w:r w:rsidRPr="003849E4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ΥΠΟΔΕΙΓΜΑ ΣΗΜΑΝΣΗΣ _</w:t>
      </w:r>
      <w:r w:rsidRPr="00940451">
        <w:rPr>
          <w:rFonts w:eastAsia="Times New Roman" w:cs="Times New Roman"/>
          <w:b/>
          <w:sz w:val="24"/>
          <w:szCs w:val="24"/>
          <w:lang w:eastAsia="hi-IN" w:bidi="hi-IN"/>
        </w:rPr>
        <w:t>ΚΟΙΝΕΣ ΠΡΟΔΙΑΓΡΑΦΕΣ ΕΜΠΟΡΙΑΣ</w:t>
      </w:r>
      <w:r w:rsidRPr="00940451">
        <w:rPr>
          <w:rFonts w:eastAsia="Times New Roman" w:cs="Times New Roman"/>
          <w:sz w:val="24"/>
          <w:szCs w:val="24"/>
          <w:lang w:eastAsia="hi-IN" w:bidi="hi-IN"/>
        </w:rPr>
        <w:t xml:space="preserve"> </w:t>
      </w:r>
    </w:p>
    <w:p w:rsidR="0033465B" w:rsidRPr="00D92E06" w:rsidRDefault="0033465B" w:rsidP="0033465B">
      <w:pPr>
        <w:contextualSpacing/>
        <w:jc w:val="both"/>
        <w:rPr>
          <w:rFonts w:eastAsia="Times New Roman" w:cs="Times New Roman"/>
          <w:b/>
          <w:sz w:val="24"/>
          <w:szCs w:val="24"/>
          <w:lang w:eastAsia="hi-IN" w:bidi="hi-IN"/>
        </w:rPr>
      </w:pPr>
      <w:r w:rsidRPr="00D92E06">
        <w:rPr>
          <w:b/>
          <w:sz w:val="24"/>
          <w:szCs w:val="24"/>
        </w:rPr>
        <w:t>1.ΠΡΟΪΟΝΤΑ ΑΛΙΕΙΑΣ (εγχώρια ,</w:t>
      </w:r>
      <w:proofErr w:type="spellStart"/>
      <w:r w:rsidRPr="00D92E06">
        <w:rPr>
          <w:b/>
          <w:sz w:val="24"/>
          <w:szCs w:val="24"/>
        </w:rPr>
        <w:t>ενωσιακά</w:t>
      </w:r>
      <w:proofErr w:type="spellEnd"/>
      <w:r w:rsidRPr="00D92E06">
        <w:rPr>
          <w:b/>
          <w:sz w:val="24"/>
          <w:szCs w:val="24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 xml:space="preserve">ΤΡΙΨΗΦΙΟΣ ΚΩΔΙΚΟΣ </w:t>
            </w:r>
            <w:r w:rsidRPr="00940451">
              <w:rPr>
                <w:rFonts w:asciiTheme="minorHAnsi" w:hAnsiTheme="minorHAnsi"/>
                <w:sz w:val="24"/>
                <w:szCs w:val="24"/>
                <w:lang w:val="en-US"/>
              </w:rPr>
              <w:t>FAO</w:t>
            </w:r>
            <w:r w:rsidRPr="00940451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33465B" w:rsidRPr="00940451" w:rsidRDefault="0033465B" w:rsidP="007E7CEB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>ΕΜΠΟΡΙΚΗ ΟΝΟΜΑΣΙΑ: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>ΕΠΙΣΤΗΜΟΝΙΚΗ ΟΝΟΜΑΣΙΑ:</w:t>
            </w:r>
          </w:p>
        </w:tc>
        <w:tc>
          <w:tcPr>
            <w:tcW w:w="4048" w:type="dxa"/>
          </w:tcPr>
          <w:p w:rsidR="0033465B" w:rsidRPr="009C686D" w:rsidRDefault="0033465B" w:rsidP="007E7CEB">
            <w:pPr>
              <w:contextualSpacing/>
              <w:jc w:val="both"/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r w:rsidRPr="009C686D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HKE</w:t>
            </w:r>
          </w:p>
          <w:p w:rsidR="0033465B" w:rsidRPr="009C686D" w:rsidRDefault="0033465B" w:rsidP="007E7CEB">
            <w:pPr>
              <w:contextualSpacing/>
              <w:jc w:val="both"/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r w:rsidRPr="009C686D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Μπακαλιάρος</w:t>
            </w:r>
          </w:p>
          <w:p w:rsidR="0033465B" w:rsidRPr="009C686D" w:rsidRDefault="0033465B" w:rsidP="007E7CEB">
            <w:pPr>
              <w:contextualSpacing/>
              <w:jc w:val="both"/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proofErr w:type="spellStart"/>
            <w:r w:rsidRPr="009C686D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Merluccius</w:t>
            </w:r>
            <w:proofErr w:type="spellEnd"/>
            <w:r w:rsidRPr="009C686D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9C686D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merluccius</w:t>
            </w:r>
            <w:proofErr w:type="spellEnd"/>
          </w:p>
          <w:p w:rsidR="0033465B" w:rsidRPr="009C686D" w:rsidRDefault="0033465B" w:rsidP="007E7CEB">
            <w:pPr>
              <w:suppressAutoHyphens/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</w:pP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ΠΑΡΟΥΣΙΑΣΗ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 xml:space="preserve"> :</w:t>
            </w:r>
          </w:p>
        </w:tc>
        <w:tc>
          <w:tcPr>
            <w:tcW w:w="4048" w:type="dxa"/>
          </w:tcPr>
          <w:p w:rsidR="0033465B" w:rsidRPr="009C686D" w:rsidRDefault="0033465B" w:rsidP="007E7CEB">
            <w:pPr>
              <w:suppressAutoHyphens/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9C686D"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val="en-US" w:eastAsia="hi-IN" w:bidi="hi-IN"/>
              </w:rPr>
              <w:t>WHL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ΦΡΕΣΚΟΤΗΤΑ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>:</w:t>
            </w:r>
          </w:p>
        </w:tc>
        <w:tc>
          <w:tcPr>
            <w:tcW w:w="4048" w:type="dxa"/>
          </w:tcPr>
          <w:p w:rsidR="0033465B" w:rsidRPr="009C686D" w:rsidRDefault="0033465B" w:rsidP="007E7CEB">
            <w:pPr>
              <w:suppressAutoHyphens/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</w:pPr>
            <w:r w:rsidRPr="009C686D"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  <w:t>ΕΞΑΙΡΕΤΙΚΟ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ΚΑΤΗΓΟΡΙΑ ΜΕΓΕΘΟΥΣ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 xml:space="preserve">  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48" w:type="dxa"/>
          </w:tcPr>
          <w:p w:rsidR="0033465B" w:rsidRPr="009C686D" w:rsidRDefault="0033465B" w:rsidP="007E7CEB">
            <w:pPr>
              <w:suppressAutoHyphens/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</w:pPr>
            <w:r w:rsidRPr="009C686D"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  <w:t>3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2742E4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ΚΑΘΑΡΟ ΒΑΡΟΣ 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48" w:type="dxa"/>
          </w:tcPr>
          <w:p w:rsidR="0033465B" w:rsidRPr="009C686D" w:rsidRDefault="0033465B" w:rsidP="007E7CEB">
            <w:pPr>
              <w:suppressAutoHyphens/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9C686D"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eastAsia="hi-IN" w:bidi="hi-IN"/>
              </w:rPr>
              <w:t xml:space="preserve">30 </w:t>
            </w:r>
            <w:r w:rsidRPr="009C686D">
              <w:rPr>
                <w:rFonts w:ascii="Comic Sans MS" w:hAnsi="Comic Sans MS"/>
                <w:color w:val="1F4E79" w:themeColor="accent1" w:themeShade="80"/>
                <w:sz w:val="24"/>
                <w:szCs w:val="24"/>
                <w:lang w:val="en-US" w:eastAsia="hi-IN" w:bidi="hi-IN"/>
              </w:rPr>
              <w:t>kg</w:t>
            </w:r>
          </w:p>
        </w:tc>
      </w:tr>
    </w:tbl>
    <w:p w:rsidR="0033465B" w:rsidRDefault="0033465B" w:rsidP="0033465B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Pr="00D92E06" w:rsidRDefault="0033465B" w:rsidP="0033465B">
      <w:pPr>
        <w:contextualSpacing/>
        <w:jc w:val="both"/>
        <w:rPr>
          <w:rFonts w:eastAsia="Times New Roman" w:cs="Times New Roman"/>
          <w:b/>
          <w:sz w:val="24"/>
          <w:szCs w:val="24"/>
          <w:lang w:eastAsia="hi-IN" w:bidi="hi-IN"/>
        </w:rPr>
      </w:pPr>
      <w:r w:rsidRPr="00D92E06">
        <w:rPr>
          <w:b/>
          <w:sz w:val="24"/>
          <w:szCs w:val="24"/>
        </w:rPr>
        <w:t xml:space="preserve">2.ΠΡΟΪΟΝΤΑ ΑΛΙΕΙΑΣ τρίτων χωρών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048"/>
      </w:tblGrid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40451">
              <w:rPr>
                <w:rFonts w:asciiTheme="minorHAnsi" w:hAnsiTheme="minorHAnsi"/>
                <w:sz w:val="24"/>
                <w:szCs w:val="24"/>
                <w:lang w:eastAsia="hi-IN" w:bidi="hi-IN"/>
              </w:rPr>
              <w:t xml:space="preserve">1) ΧΩΡΑ ΠΡΟΕΛΕΥΣΗΣ : 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40451">
              <w:rPr>
                <w:rFonts w:asciiTheme="minorHAnsi" w:hAnsiTheme="minorHAnsi"/>
                <w:sz w:val="24"/>
                <w:szCs w:val="24"/>
                <w:lang w:eastAsia="hi-IN" w:bidi="hi-IN"/>
              </w:rPr>
              <w:t xml:space="preserve"> Λατινικά γράμματα  ύψους 20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>mm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  <w:t>ΜΑΡΟΚΟ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 xml:space="preserve">ΤΡΙΨΗΦΙΟΣ ΚΩΔΙΚΟΣ </w:t>
            </w:r>
            <w:r w:rsidRPr="00940451">
              <w:rPr>
                <w:rFonts w:asciiTheme="minorHAnsi" w:hAnsiTheme="minorHAnsi"/>
                <w:sz w:val="24"/>
                <w:szCs w:val="24"/>
                <w:lang w:val="en-US"/>
              </w:rPr>
              <w:t>FAO</w:t>
            </w:r>
            <w:r w:rsidRPr="00940451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33465B" w:rsidRPr="00940451" w:rsidRDefault="0033465B" w:rsidP="007E7CEB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>ΕΜΠΟΡΙΚΗ ΟΝΟΜΑΣΙΑ: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40451">
              <w:rPr>
                <w:rFonts w:asciiTheme="minorHAnsi" w:hAnsiTheme="minorHAnsi"/>
                <w:sz w:val="24"/>
                <w:szCs w:val="24"/>
              </w:rPr>
              <w:t>ΕΠΙΣΤΗΜΟΝΙΚΗ ΟΝΟΜΑΣΙΑ: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r w:rsidRPr="00A27A3E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SOO</w:t>
            </w:r>
          </w:p>
          <w:p w:rsidR="0033465B" w:rsidRPr="00A27A3E" w:rsidRDefault="0033465B" w:rsidP="007E7CEB">
            <w:pPr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r w:rsidRPr="00A27A3E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Γλώσσες</w:t>
            </w:r>
          </w:p>
          <w:p w:rsidR="0033465B" w:rsidRPr="00A27A3E" w:rsidRDefault="0033465B" w:rsidP="007E7CEB">
            <w:pPr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</w:pPr>
            <w:proofErr w:type="spellStart"/>
            <w:r w:rsidRPr="00A27A3E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Solea</w:t>
            </w:r>
            <w:proofErr w:type="spellEnd"/>
            <w:r w:rsidRPr="00A27A3E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27A3E">
              <w:rPr>
                <w:rFonts w:ascii="Comic Sans MS" w:hAnsi="Comic Sans MS" w:cs="Arial"/>
                <w:i/>
                <w:color w:val="1F4E79" w:themeColor="accent1" w:themeShade="80"/>
                <w:sz w:val="24"/>
                <w:szCs w:val="24"/>
              </w:rPr>
              <w:t>spp</w:t>
            </w:r>
            <w:proofErr w:type="spellEnd"/>
          </w:p>
          <w:p w:rsidR="0033465B" w:rsidRPr="00A27A3E" w:rsidRDefault="0033465B" w:rsidP="007E7CEB">
            <w:pP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</w:pP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ΠΑΡΟΥΣΙΑΣΗ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 xml:space="preserve"> :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GUT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ΦΡΕΣΚΟΤΗΤΑ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>: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A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ΚΑΤΗΓΟΡΙΑ ΜΕΓΕΘΟΥΣ</w:t>
            </w:r>
            <w:r w:rsidRPr="00940451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 xml:space="preserve">  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4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C686D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C686D">
              <w:rPr>
                <w:rFonts w:asciiTheme="minorHAnsi" w:hAnsiTheme="minorHAnsi"/>
                <w:sz w:val="24"/>
                <w:szCs w:val="24"/>
                <w:lang w:eastAsia="hi-IN" w:bidi="hi-IN"/>
              </w:rPr>
              <w:t>ΚΑΘΑΡΟ ΒΑΡΟΣ :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20</w:t>
            </w: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kg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C686D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C686D">
              <w:rPr>
                <w:rFonts w:asciiTheme="minorHAnsi" w:hAnsiTheme="minorHAnsi"/>
                <w:sz w:val="24"/>
                <w:szCs w:val="24"/>
                <w:lang w:eastAsia="hi-IN" w:bidi="hi-IN"/>
              </w:rPr>
              <w:t>ΗΜΕΡΟΜΗΝΙΑ ΤΑΞΙΝΟΜΗΣΗΣ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11</w:t>
            </w: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  <w:t>-</w:t>
            </w: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12</w:t>
            </w: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2015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C686D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 w:rsidRPr="009C686D">
              <w:rPr>
                <w:rFonts w:asciiTheme="minorHAnsi" w:hAnsiTheme="minorHAnsi"/>
                <w:sz w:val="24"/>
                <w:szCs w:val="24"/>
                <w:lang w:eastAsia="hi-IN" w:bidi="hi-IN"/>
              </w:rPr>
              <w:t>ΗΜΕΡΟΜΗΝΙΑ ΑΠΟΣΤΟΛΗΣ</w:t>
            </w:r>
            <w:r w:rsidRPr="009C686D">
              <w:rPr>
                <w:rFonts w:asciiTheme="minorHAnsi" w:hAnsiTheme="minorHAnsi"/>
                <w:sz w:val="24"/>
                <w:szCs w:val="24"/>
                <w:lang w:val="en-US" w:eastAsia="hi-IN" w:bidi="hi-IN"/>
              </w:rPr>
              <w:t xml:space="preserve"> : </w:t>
            </w: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11-</w:t>
            </w: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12</w:t>
            </w:r>
            <w:r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eastAsia="hi-IN" w:bidi="hi-IN"/>
              </w:rPr>
              <w:t>-</w:t>
            </w: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2014</w:t>
            </w:r>
          </w:p>
        </w:tc>
      </w:tr>
      <w:tr w:rsidR="0033465B" w:rsidRPr="00940451" w:rsidTr="007E7CEB">
        <w:tc>
          <w:tcPr>
            <w:tcW w:w="4248" w:type="dxa"/>
          </w:tcPr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ΟΝΟΜΑ ΕΞΑΓΩΓΕΑ</w:t>
            </w:r>
            <w:r w:rsidRPr="00940451">
              <w:rPr>
                <w:rFonts w:asciiTheme="minorHAnsi" w:hAnsiTheme="minorHAnsi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  <w:r>
              <w:rPr>
                <w:rFonts w:asciiTheme="minorHAnsi" w:hAnsiTheme="minorHAnsi"/>
                <w:sz w:val="24"/>
                <w:szCs w:val="24"/>
                <w:lang w:eastAsia="hi-IN" w:bidi="hi-IN"/>
              </w:rPr>
              <w:t>Δ/ΝΣΗ ΕΞΑΓΩΓΕΑ :</w:t>
            </w:r>
          </w:p>
          <w:p w:rsidR="0033465B" w:rsidRPr="00940451" w:rsidRDefault="0033465B" w:rsidP="007E7CEB">
            <w:pPr>
              <w:suppressAutoHyphens/>
              <w:rPr>
                <w:rFonts w:asciiTheme="minorHAnsi" w:hAnsiTheme="minorHAnsi"/>
                <w:sz w:val="24"/>
                <w:szCs w:val="24"/>
                <w:lang w:eastAsia="hi-IN" w:bidi="hi-IN"/>
              </w:rPr>
            </w:pPr>
          </w:p>
        </w:tc>
        <w:tc>
          <w:tcPr>
            <w:tcW w:w="4048" w:type="dxa"/>
          </w:tcPr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MAROKO SA</w:t>
            </w:r>
          </w:p>
          <w:p w:rsidR="0033465B" w:rsidRPr="00A27A3E" w:rsidRDefault="0033465B" w:rsidP="007E7CEB">
            <w:pPr>
              <w:suppressAutoHyphens/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</w:pPr>
            <w:r w:rsidRPr="00A27A3E">
              <w:rPr>
                <w:rFonts w:ascii="Comic Sans MS" w:hAnsi="Comic Sans MS"/>
                <w:i/>
                <w:color w:val="1F4E79" w:themeColor="accent1" w:themeShade="80"/>
                <w:sz w:val="24"/>
                <w:szCs w:val="24"/>
                <w:lang w:val="en-US" w:eastAsia="hi-IN" w:bidi="hi-IN"/>
              </w:rPr>
              <w:t>RABAT</w:t>
            </w:r>
          </w:p>
        </w:tc>
      </w:tr>
    </w:tbl>
    <w:p w:rsidR="0033465B" w:rsidRPr="00940451" w:rsidRDefault="0033465B" w:rsidP="0033465B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hi-IN" w:bidi="hi-IN"/>
        </w:rPr>
      </w:pPr>
    </w:p>
    <w:p w:rsidR="0033465B" w:rsidRPr="00940451" w:rsidRDefault="0033465B" w:rsidP="0033465B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hi-IN" w:bidi="hi-IN"/>
        </w:rPr>
      </w:pPr>
    </w:p>
    <w:p w:rsidR="005B487A" w:rsidRDefault="005B487A">
      <w:bookmarkStart w:id="0" w:name="_GoBack"/>
      <w:bookmarkEnd w:id="0"/>
    </w:p>
    <w:sectPr w:rsidR="005B4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MSTT31c632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E1EA5"/>
    <w:multiLevelType w:val="hybridMultilevel"/>
    <w:tmpl w:val="B5BC8D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5B"/>
    <w:rsid w:val="0033465B"/>
    <w:rsid w:val="005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51BF3-2631-4B79-9F7F-0DB212F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</dc:creator>
  <cp:keywords/>
  <dc:description/>
  <cp:lastModifiedBy>gda</cp:lastModifiedBy>
  <cp:revision>1</cp:revision>
  <dcterms:created xsi:type="dcterms:W3CDTF">2014-12-12T13:02:00Z</dcterms:created>
  <dcterms:modified xsi:type="dcterms:W3CDTF">2014-12-12T13:02:00Z</dcterms:modified>
</cp:coreProperties>
</file>